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87A" w:rsidRDefault="00D6487A" w:rsidP="00D6487A">
      <w:pPr>
        <w:spacing w:line="560" w:lineRule="exact"/>
        <w:jc w:val="left"/>
        <w:rPr>
          <w:rFonts w:ascii="黑体" w:eastAsia="黑体" w:hAnsi="黑体" w:cs="黑体"/>
          <w:sz w:val="32"/>
          <w:szCs w:val="32"/>
        </w:rPr>
      </w:pPr>
      <w:r>
        <w:rPr>
          <w:rFonts w:ascii="黑体" w:eastAsia="黑体" w:hAnsi="黑体" w:cs="黑体" w:hint="eastAsia"/>
          <w:sz w:val="32"/>
          <w:szCs w:val="32"/>
        </w:rPr>
        <w:t>附件5</w:t>
      </w:r>
    </w:p>
    <w:p w:rsidR="00D6487A" w:rsidRDefault="00D6487A" w:rsidP="00D6487A">
      <w:pPr>
        <w:widowControl/>
        <w:jc w:val="left"/>
        <w:rPr>
          <w:rFonts w:ascii="宋体" w:eastAsia="宋体" w:hAnsi="宋体" w:cs="宋体"/>
          <w:b/>
          <w:bCs/>
          <w:spacing w:val="5"/>
          <w:sz w:val="32"/>
          <w:szCs w:val="32"/>
        </w:rPr>
      </w:pPr>
    </w:p>
    <w:p w:rsidR="00D6487A" w:rsidRDefault="00D6487A" w:rsidP="00D6487A">
      <w:pPr>
        <w:spacing w:line="760" w:lineRule="exact"/>
        <w:jc w:val="center"/>
        <w:rPr>
          <w:rFonts w:ascii="方正小标宋简体" w:eastAsia="方正小标宋简体" w:hAnsi="方正小标宋简体" w:cs="方正小标宋简体"/>
          <w:sz w:val="46"/>
          <w:szCs w:val="46"/>
        </w:rPr>
      </w:pPr>
      <w:r>
        <w:rPr>
          <w:rFonts w:ascii="方正小标宋简体" w:eastAsia="方正小标宋简体" w:hAnsi="方正小标宋简体" w:cs="方正小标宋简体" w:hint="eastAsia"/>
          <w:sz w:val="46"/>
          <w:szCs w:val="46"/>
        </w:rPr>
        <w:t>2026年福建省大学生信息素养大赛省级决赛排位赛答题流程</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本阶段分为</w:t>
      </w:r>
      <w:proofErr w:type="gramStart"/>
      <w:r>
        <w:rPr>
          <w:rFonts w:ascii="仿宋" w:eastAsia="仿宋" w:hAnsi="仿宋" w:cs="仿宋" w:hint="eastAsia"/>
          <w:sz w:val="32"/>
          <w:szCs w:val="32"/>
        </w:rPr>
        <w:t>极</w:t>
      </w:r>
      <w:proofErr w:type="gramEnd"/>
      <w:r>
        <w:rPr>
          <w:rFonts w:ascii="仿宋" w:eastAsia="仿宋" w:hAnsi="仿宋" w:cs="仿宋" w:hint="eastAsia"/>
          <w:sz w:val="32"/>
          <w:szCs w:val="32"/>
        </w:rPr>
        <w:t>速对抗和现场答辩两个环节。比赛全程只能使用笔记本电脑作答，严禁任何形式的作弊行为，包括但不限于使用外挂程序、外援协同作答或其他不当手段。禁止拍照，禁止佩戴耳机。</w:t>
      </w:r>
    </w:p>
    <w:p w:rsidR="00D6487A" w:rsidRDefault="00D6487A" w:rsidP="00D6487A">
      <w:pPr>
        <w:spacing w:line="52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w:t>
      </w:r>
      <w:proofErr w:type="gramStart"/>
      <w:r>
        <w:rPr>
          <w:rFonts w:ascii="仿宋" w:eastAsia="仿宋" w:hAnsi="仿宋" w:cs="仿宋" w:hint="eastAsia"/>
          <w:b/>
          <w:bCs/>
          <w:sz w:val="32"/>
          <w:szCs w:val="32"/>
        </w:rPr>
        <w:t>极</w:t>
      </w:r>
      <w:proofErr w:type="gramEnd"/>
      <w:r>
        <w:rPr>
          <w:rFonts w:ascii="仿宋" w:eastAsia="仿宋" w:hAnsi="仿宋" w:cs="仿宋" w:hint="eastAsia"/>
          <w:b/>
          <w:bCs/>
          <w:sz w:val="32"/>
          <w:szCs w:val="32"/>
        </w:rPr>
        <w:t>速对抗</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极速对抗包括</w:t>
      </w:r>
      <w:r>
        <w:rPr>
          <w:rFonts w:ascii="仿宋" w:eastAsia="仿宋" w:hAnsi="仿宋" w:cs="仿宋" w:hint="eastAsia"/>
          <w:b/>
          <w:bCs/>
          <w:sz w:val="32"/>
          <w:szCs w:val="32"/>
        </w:rPr>
        <w:t>个人接力、团队抢答、AI专项三个</w:t>
      </w:r>
      <w:r>
        <w:rPr>
          <w:rFonts w:ascii="仿宋" w:eastAsia="仿宋" w:hAnsi="仿宋" w:cs="仿宋" w:hint="eastAsia"/>
          <w:sz w:val="32"/>
          <w:szCs w:val="32"/>
        </w:rPr>
        <w:t>模块，多选题 4 分，单选题 2.5 分，判断题 1 分。满分 100 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出题范围：大赛组委会公布的 50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知识模块。</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1.个人接力（18 分钟，每队 20 题，满分 50 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答题形式：每队 3 名队员按座位顺序从左到右依次独立答题，均可以</w:t>
      </w:r>
      <w:proofErr w:type="gramStart"/>
      <w:r>
        <w:rPr>
          <w:rFonts w:ascii="仿宋" w:eastAsia="仿宋" w:hAnsi="仿宋" w:cs="仿宋" w:hint="eastAsia"/>
          <w:sz w:val="32"/>
          <w:szCs w:val="32"/>
        </w:rPr>
        <w:t>跳题但</w:t>
      </w:r>
      <w:proofErr w:type="gramEnd"/>
      <w:r>
        <w:rPr>
          <w:rFonts w:ascii="仿宋" w:eastAsia="仿宋" w:hAnsi="仿宋" w:cs="仿宋" w:hint="eastAsia"/>
          <w:sz w:val="32"/>
          <w:szCs w:val="32"/>
        </w:rPr>
        <w:t>不能返回。每人基础时间为 6 分钟，第1 、2 名</w:t>
      </w:r>
      <w:proofErr w:type="gramStart"/>
      <w:r>
        <w:rPr>
          <w:rFonts w:ascii="仿宋" w:eastAsia="仿宋" w:hAnsi="仿宋" w:cs="仿宋" w:hint="eastAsia"/>
          <w:sz w:val="32"/>
          <w:szCs w:val="32"/>
        </w:rPr>
        <w:t>队员各答</w:t>
      </w:r>
      <w:proofErr w:type="gramEnd"/>
      <w:r>
        <w:rPr>
          <w:rFonts w:ascii="仿宋" w:eastAsia="仿宋" w:hAnsi="仿宋" w:cs="仿宋" w:hint="eastAsia"/>
          <w:sz w:val="32"/>
          <w:szCs w:val="32"/>
        </w:rPr>
        <w:t xml:space="preserve"> 5 题（ 1 多选、3 单选、1 判断）；第 3 名队员答 10 题（3 多选、4 单选、3 判断）。若第 1 、2 名队员提前完成答题，可选择“ 交卷并接力”，其节余时间将自动累加至第 3 名队员的答题时间。</w:t>
      </w:r>
    </w:p>
    <w:p w:rsidR="00D6487A" w:rsidRDefault="00D6487A" w:rsidP="00D6487A">
      <w:pPr>
        <w:spacing w:line="520" w:lineRule="exact"/>
        <w:rPr>
          <w:rFonts w:ascii="仿宋" w:eastAsia="仿宋" w:hAnsi="仿宋" w:cs="仿宋"/>
          <w:sz w:val="32"/>
          <w:szCs w:val="32"/>
        </w:rPr>
      </w:pPr>
      <w:r>
        <w:rPr>
          <w:rFonts w:ascii="仿宋" w:eastAsia="仿宋" w:hAnsi="仿宋" w:cs="仿宋" w:hint="eastAsia"/>
          <w:sz w:val="32"/>
          <w:szCs w:val="32"/>
        </w:rPr>
        <w:t>评分标准：第 1、2 名队员跳题、答错或不答均不扣分；第 3 名队员跳题、答错或已打开但未提交答案的</w:t>
      </w:r>
      <w:proofErr w:type="gramStart"/>
      <w:r>
        <w:rPr>
          <w:rFonts w:ascii="仿宋" w:eastAsia="仿宋" w:hAnsi="仿宋" w:cs="仿宋" w:hint="eastAsia"/>
          <w:sz w:val="32"/>
          <w:szCs w:val="32"/>
        </w:rPr>
        <w:t>题目均扣该题</w:t>
      </w:r>
      <w:proofErr w:type="gramEnd"/>
      <w:r>
        <w:rPr>
          <w:rFonts w:ascii="仿宋" w:eastAsia="仿宋" w:hAnsi="仿宋" w:cs="仿宋" w:hint="eastAsia"/>
          <w:sz w:val="32"/>
          <w:szCs w:val="32"/>
        </w:rPr>
        <w:t>对应分值，未打开的题目不扣分。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2.团队抢答（10 分钟，每队 10 题，满分 25 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答题形式：主持人逐题发放，共 10 题（3 多选、4 单选、 3 判断），每题限时 60 秒。团队协作答题，提交即计</w:t>
      </w:r>
      <w:r>
        <w:rPr>
          <w:rFonts w:ascii="仿宋" w:eastAsia="仿宋" w:hAnsi="仿宋" w:cs="仿宋" w:hint="eastAsia"/>
          <w:sz w:val="32"/>
          <w:szCs w:val="32"/>
        </w:rPr>
        <w:lastRenderedPageBreak/>
        <w:t>时停止。</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评分标准：系统首先判定答题正确性，再在所有答对的队伍中按用时排名，用时位于前 50%（奇数进位取整）者得分；答错扣该题对应分值；不答或答对但速度排名后50%者不得分也不扣分。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3.AI 专项（10 分钟，每队 10 题，满分 25 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答题形式：团队协作答题，共 10 题（3 多选、4 单选、 3 判断），按顺序答题，可以</w:t>
      </w:r>
      <w:proofErr w:type="gramStart"/>
      <w:r>
        <w:rPr>
          <w:rFonts w:ascii="仿宋" w:eastAsia="仿宋" w:hAnsi="仿宋" w:cs="仿宋" w:hint="eastAsia"/>
          <w:sz w:val="32"/>
          <w:szCs w:val="32"/>
        </w:rPr>
        <w:t>跳题但</w:t>
      </w:r>
      <w:proofErr w:type="gramEnd"/>
      <w:r>
        <w:rPr>
          <w:rFonts w:ascii="仿宋" w:eastAsia="仿宋" w:hAnsi="仿宋" w:cs="仿宋" w:hint="eastAsia"/>
          <w:sz w:val="32"/>
          <w:szCs w:val="32"/>
        </w:rPr>
        <w:t>不能返回。</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评分标准：跳题、答错或已打开但未提交答案的</w:t>
      </w:r>
      <w:proofErr w:type="gramStart"/>
      <w:r>
        <w:rPr>
          <w:rFonts w:ascii="仿宋" w:eastAsia="仿宋" w:hAnsi="仿宋" w:cs="仿宋" w:hint="eastAsia"/>
          <w:sz w:val="32"/>
          <w:szCs w:val="32"/>
        </w:rPr>
        <w:t>题目均扣该题</w:t>
      </w:r>
      <w:proofErr w:type="gramEnd"/>
      <w:r>
        <w:rPr>
          <w:rFonts w:ascii="仿宋" w:eastAsia="仿宋" w:hAnsi="仿宋" w:cs="仿宋" w:hint="eastAsia"/>
          <w:sz w:val="32"/>
          <w:szCs w:val="32"/>
        </w:rPr>
        <w:t>对应分值；未打开的题目不扣分。</w:t>
      </w:r>
    </w:p>
    <w:p w:rsidR="00D6487A" w:rsidRDefault="00D6487A" w:rsidP="00D6487A">
      <w:pPr>
        <w:spacing w:line="520" w:lineRule="exact"/>
        <w:rPr>
          <w:rFonts w:ascii="仿宋" w:eastAsia="仿宋" w:hAnsi="仿宋" w:cs="仿宋"/>
          <w:b/>
          <w:bCs/>
          <w:sz w:val="32"/>
          <w:szCs w:val="32"/>
        </w:rPr>
      </w:pPr>
      <w:r>
        <w:rPr>
          <w:rFonts w:ascii="仿宋" w:eastAsia="仿宋" w:hAnsi="仿宋" w:cs="仿宋" w:hint="eastAsia"/>
          <w:b/>
          <w:bCs/>
          <w:sz w:val="32"/>
          <w:szCs w:val="32"/>
        </w:rPr>
        <w:t>二、现场答辩</w:t>
      </w:r>
    </w:p>
    <w:p w:rsidR="00D6487A" w:rsidRDefault="00D6487A" w:rsidP="00D6487A">
      <w:pPr>
        <w:spacing w:line="520" w:lineRule="exact"/>
        <w:ind w:firstLineChars="200" w:firstLine="643"/>
        <w:rPr>
          <w:rFonts w:ascii="仿宋" w:eastAsia="仿宋" w:hAnsi="仿宋" w:cs="仿宋"/>
          <w:sz w:val="32"/>
          <w:szCs w:val="32"/>
        </w:rPr>
      </w:pPr>
      <w:r>
        <w:rPr>
          <w:rFonts w:ascii="仿宋" w:eastAsia="仿宋" w:hAnsi="仿宋" w:cs="仿宋" w:hint="eastAsia"/>
          <w:b/>
          <w:bCs/>
          <w:sz w:val="32"/>
          <w:szCs w:val="32"/>
        </w:rPr>
        <w:t>现场答辩包括项目陈述和问题回答两个模块。</w:t>
      </w:r>
      <w:r>
        <w:rPr>
          <w:rFonts w:ascii="仿宋" w:eastAsia="仿宋" w:hAnsi="仿宋" w:cs="仿宋" w:hint="eastAsia"/>
          <w:sz w:val="32"/>
          <w:szCs w:val="32"/>
        </w:rPr>
        <w:t>每队现场展示并陈述作品 PPT，时长 3 分钟；评委提出问题后，团队成员回答，时长 1 分钟。满分 100 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项目陈述及问题回答模块评分标准：专家评委根据参赛队员在项目陈述及问题回答模块中的综合表现打分。</w:t>
      </w:r>
    </w:p>
    <w:tbl>
      <w:tblPr>
        <w:tblStyle w:val="TableNormal"/>
        <w:tblW w:w="8323" w:type="dxa"/>
        <w:tblInd w:w="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936"/>
        <w:gridCol w:w="6387"/>
      </w:tblGrid>
      <w:tr w:rsidR="00D6487A" w:rsidTr="00B20524">
        <w:trPr>
          <w:trHeight w:val="354"/>
        </w:trPr>
        <w:tc>
          <w:tcPr>
            <w:tcW w:w="1936" w:type="dxa"/>
            <w:vAlign w:val="center"/>
          </w:tcPr>
          <w:p w:rsidR="00D6487A" w:rsidRDefault="00D6487A" w:rsidP="00B20524">
            <w:pPr>
              <w:spacing w:line="500" w:lineRule="exact"/>
              <w:jc w:val="center"/>
              <w:rPr>
                <w:rFonts w:ascii="仿宋" w:eastAsia="仿宋" w:hAnsi="仿宋" w:cs="仿宋"/>
                <w:b/>
                <w:bCs/>
                <w:sz w:val="24"/>
              </w:rPr>
            </w:pPr>
            <w:r>
              <w:rPr>
                <w:rFonts w:ascii="仿宋" w:eastAsia="仿宋" w:hAnsi="仿宋" w:cs="仿宋" w:hint="eastAsia"/>
                <w:b/>
                <w:bCs/>
                <w:sz w:val="24"/>
              </w:rPr>
              <w:t>项目 (分值)</w:t>
            </w:r>
          </w:p>
        </w:tc>
        <w:tc>
          <w:tcPr>
            <w:tcW w:w="6387" w:type="dxa"/>
            <w:vAlign w:val="center"/>
          </w:tcPr>
          <w:p w:rsidR="00D6487A" w:rsidRDefault="00D6487A" w:rsidP="00B20524">
            <w:pPr>
              <w:spacing w:line="500" w:lineRule="exact"/>
              <w:ind w:firstLineChars="200" w:firstLine="482"/>
              <w:jc w:val="center"/>
              <w:rPr>
                <w:rFonts w:ascii="仿宋" w:eastAsia="仿宋" w:hAnsi="仿宋" w:cs="仿宋"/>
                <w:b/>
                <w:bCs/>
                <w:sz w:val="24"/>
              </w:rPr>
            </w:pPr>
            <w:r>
              <w:rPr>
                <w:rFonts w:ascii="仿宋" w:eastAsia="仿宋" w:hAnsi="仿宋" w:cs="仿宋" w:hint="eastAsia"/>
                <w:b/>
                <w:bCs/>
                <w:sz w:val="24"/>
              </w:rPr>
              <w:t>要求</w:t>
            </w:r>
          </w:p>
        </w:tc>
      </w:tr>
      <w:tr w:rsidR="00D6487A" w:rsidTr="00B20524">
        <w:trPr>
          <w:trHeight w:val="2206"/>
        </w:trPr>
        <w:tc>
          <w:tcPr>
            <w:tcW w:w="1936" w:type="dxa"/>
            <w:vAlign w:val="center"/>
          </w:tcPr>
          <w:p w:rsidR="00D6487A" w:rsidRDefault="00D6487A" w:rsidP="00B20524">
            <w:pPr>
              <w:jc w:val="center"/>
              <w:rPr>
                <w:rFonts w:ascii="仿宋" w:eastAsia="仿宋" w:hAnsi="仿宋" w:cs="仿宋"/>
                <w:sz w:val="24"/>
              </w:rPr>
            </w:pPr>
            <w:r>
              <w:rPr>
                <w:rFonts w:ascii="仿宋" w:eastAsia="仿宋" w:hAnsi="仿宋" w:cs="仿宋" w:hint="eastAsia"/>
                <w:sz w:val="24"/>
              </w:rPr>
              <w:t>研究内容质量</w:t>
            </w:r>
          </w:p>
          <w:p w:rsidR="00D6487A" w:rsidRDefault="00D6487A" w:rsidP="00B20524">
            <w:pPr>
              <w:jc w:val="center"/>
              <w:rPr>
                <w:rFonts w:ascii="仿宋" w:eastAsia="仿宋" w:hAnsi="仿宋" w:cs="仿宋"/>
                <w:sz w:val="24"/>
              </w:rPr>
            </w:pPr>
            <w:r>
              <w:rPr>
                <w:rFonts w:ascii="仿宋" w:eastAsia="仿宋" w:hAnsi="仿宋" w:cs="仿宋" w:hint="eastAsia"/>
                <w:sz w:val="24"/>
              </w:rPr>
              <w:t>（50 分）</w:t>
            </w:r>
          </w:p>
        </w:tc>
        <w:tc>
          <w:tcPr>
            <w:tcW w:w="6387" w:type="dxa"/>
            <w:vAlign w:val="center"/>
          </w:tcPr>
          <w:p w:rsidR="00D6487A" w:rsidRDefault="00D6487A" w:rsidP="00B20524">
            <w:pPr>
              <w:jc w:val="left"/>
              <w:rPr>
                <w:rFonts w:ascii="仿宋" w:eastAsia="仿宋" w:hAnsi="仿宋" w:cs="仿宋"/>
                <w:sz w:val="24"/>
              </w:rPr>
            </w:pPr>
            <w:r>
              <w:rPr>
                <w:rFonts w:ascii="仿宋" w:eastAsia="仿宋" w:hAnsi="仿宋" w:cs="仿宋" w:hint="eastAsia"/>
                <w:sz w:val="24"/>
              </w:rPr>
              <w:t>1.选题价值：主题体现责任与担当，具有现实意义或教育价值。</w:t>
            </w:r>
          </w:p>
          <w:p w:rsidR="00D6487A" w:rsidRDefault="00D6487A" w:rsidP="00B20524">
            <w:pPr>
              <w:jc w:val="left"/>
              <w:rPr>
                <w:rFonts w:ascii="仿宋" w:eastAsia="仿宋" w:hAnsi="仿宋" w:cs="仿宋"/>
                <w:sz w:val="24"/>
              </w:rPr>
            </w:pPr>
            <w:r>
              <w:rPr>
                <w:rFonts w:ascii="仿宋" w:eastAsia="仿宋" w:hAnsi="仿宋" w:cs="仿宋" w:hint="eastAsia"/>
                <w:sz w:val="24"/>
              </w:rPr>
              <w:t>2.研究方法：技术路线清晰，方法得当；AI 工具或信息素养方法应用合理有效。</w:t>
            </w:r>
          </w:p>
          <w:p w:rsidR="00D6487A" w:rsidRDefault="00D6487A" w:rsidP="00B20524">
            <w:pPr>
              <w:jc w:val="left"/>
              <w:rPr>
                <w:rFonts w:ascii="仿宋" w:eastAsia="仿宋" w:hAnsi="仿宋" w:cs="仿宋"/>
                <w:sz w:val="24"/>
              </w:rPr>
            </w:pPr>
            <w:r>
              <w:rPr>
                <w:rFonts w:ascii="仿宋" w:eastAsia="仿宋" w:hAnsi="仿宋" w:cs="仿宋" w:hint="eastAsia"/>
                <w:sz w:val="24"/>
              </w:rPr>
              <w:t>3.研究成果：结果呈现充分，有数据或证据支撑；分析合理，逻辑严谨。</w:t>
            </w:r>
          </w:p>
          <w:p w:rsidR="00D6487A" w:rsidRDefault="00D6487A" w:rsidP="00B20524">
            <w:pPr>
              <w:jc w:val="left"/>
              <w:rPr>
                <w:rFonts w:ascii="仿宋" w:eastAsia="仿宋" w:hAnsi="仿宋" w:cs="仿宋"/>
                <w:sz w:val="24"/>
              </w:rPr>
            </w:pPr>
            <w:r>
              <w:rPr>
                <w:rFonts w:ascii="仿宋" w:eastAsia="仿宋" w:hAnsi="仿宋" w:cs="仿宋" w:hint="eastAsia"/>
                <w:sz w:val="24"/>
              </w:rPr>
              <w:t>4.创新性与应用前景：具有可推广性、应用价值或创新点。</w:t>
            </w:r>
          </w:p>
        </w:tc>
      </w:tr>
      <w:tr w:rsidR="00D6487A" w:rsidTr="00B20524">
        <w:trPr>
          <w:trHeight w:val="1058"/>
        </w:trPr>
        <w:tc>
          <w:tcPr>
            <w:tcW w:w="1936" w:type="dxa"/>
          </w:tcPr>
          <w:p w:rsidR="00D6487A" w:rsidRDefault="00D6487A" w:rsidP="00B20524">
            <w:pPr>
              <w:jc w:val="center"/>
              <w:rPr>
                <w:rFonts w:ascii="仿宋" w:eastAsia="仿宋" w:hAnsi="仿宋" w:cs="仿宋"/>
                <w:sz w:val="24"/>
              </w:rPr>
            </w:pPr>
          </w:p>
          <w:p w:rsidR="00D6487A" w:rsidRDefault="00D6487A" w:rsidP="00B20524">
            <w:pPr>
              <w:jc w:val="center"/>
              <w:rPr>
                <w:rFonts w:ascii="仿宋" w:eastAsia="仿宋" w:hAnsi="仿宋" w:cs="仿宋"/>
                <w:sz w:val="24"/>
              </w:rPr>
            </w:pPr>
            <w:r>
              <w:rPr>
                <w:rFonts w:ascii="仿宋" w:eastAsia="仿宋" w:hAnsi="仿宋" w:cs="仿宋" w:hint="eastAsia"/>
                <w:sz w:val="24"/>
              </w:rPr>
              <w:t>展示与陈述表现</w:t>
            </w:r>
          </w:p>
          <w:p w:rsidR="00D6487A" w:rsidRDefault="00D6487A" w:rsidP="00B20524">
            <w:pPr>
              <w:jc w:val="center"/>
              <w:rPr>
                <w:rFonts w:ascii="仿宋" w:eastAsia="仿宋" w:hAnsi="仿宋" w:cs="仿宋"/>
                <w:sz w:val="24"/>
              </w:rPr>
            </w:pPr>
            <w:r>
              <w:rPr>
                <w:rFonts w:ascii="仿宋" w:eastAsia="仿宋" w:hAnsi="仿宋" w:cs="仿宋" w:hint="eastAsia"/>
                <w:sz w:val="24"/>
              </w:rPr>
              <w:t>（25 分）</w:t>
            </w:r>
          </w:p>
        </w:tc>
        <w:tc>
          <w:tcPr>
            <w:tcW w:w="6387" w:type="dxa"/>
          </w:tcPr>
          <w:p w:rsidR="00D6487A" w:rsidRDefault="00D6487A" w:rsidP="00B20524">
            <w:pPr>
              <w:rPr>
                <w:rFonts w:ascii="仿宋" w:eastAsia="仿宋" w:hAnsi="仿宋" w:cs="仿宋"/>
                <w:sz w:val="24"/>
              </w:rPr>
            </w:pPr>
            <w:r>
              <w:rPr>
                <w:rFonts w:ascii="仿宋" w:eastAsia="仿宋" w:hAnsi="仿宋" w:cs="仿宋" w:hint="eastAsia"/>
                <w:sz w:val="24"/>
              </w:rPr>
              <w:t>1.结构与表达：陈述逻辑清晰、重点突出、语言规范。</w:t>
            </w:r>
          </w:p>
          <w:p w:rsidR="00D6487A" w:rsidRDefault="00D6487A" w:rsidP="00B20524">
            <w:pPr>
              <w:rPr>
                <w:rFonts w:ascii="仿宋" w:eastAsia="仿宋" w:hAnsi="仿宋" w:cs="仿宋"/>
                <w:sz w:val="24"/>
              </w:rPr>
            </w:pPr>
            <w:r>
              <w:rPr>
                <w:rFonts w:ascii="仿宋" w:eastAsia="仿宋" w:hAnsi="仿宋" w:cs="仿宋" w:hint="eastAsia"/>
                <w:sz w:val="24"/>
              </w:rPr>
              <w:t>2.视觉呈现：PPT 设计专业、图表清晰、辅助理解。</w:t>
            </w:r>
          </w:p>
          <w:p w:rsidR="00D6487A" w:rsidRDefault="00D6487A" w:rsidP="00B20524">
            <w:pPr>
              <w:rPr>
                <w:rFonts w:ascii="仿宋" w:eastAsia="仿宋" w:hAnsi="仿宋" w:cs="仿宋"/>
                <w:sz w:val="24"/>
              </w:rPr>
            </w:pPr>
            <w:r>
              <w:rPr>
                <w:rFonts w:ascii="仿宋" w:eastAsia="仿宋" w:hAnsi="仿宋" w:cs="仿宋" w:hint="eastAsia"/>
                <w:sz w:val="24"/>
              </w:rPr>
              <w:t>3.呈现效果：仪态自然，表达流畅，时间把控得当。</w:t>
            </w:r>
          </w:p>
        </w:tc>
      </w:tr>
      <w:tr w:rsidR="00D6487A" w:rsidTr="00B20524">
        <w:trPr>
          <w:trHeight w:val="1020"/>
        </w:trPr>
        <w:tc>
          <w:tcPr>
            <w:tcW w:w="1936" w:type="dxa"/>
          </w:tcPr>
          <w:p w:rsidR="00D6487A" w:rsidRDefault="00D6487A" w:rsidP="00B20524">
            <w:pPr>
              <w:jc w:val="center"/>
              <w:rPr>
                <w:rFonts w:ascii="仿宋" w:eastAsia="仿宋" w:hAnsi="仿宋" w:cs="仿宋"/>
                <w:sz w:val="24"/>
              </w:rPr>
            </w:pPr>
          </w:p>
          <w:p w:rsidR="00D6487A" w:rsidRDefault="00D6487A" w:rsidP="00B20524">
            <w:pPr>
              <w:jc w:val="center"/>
              <w:rPr>
                <w:rFonts w:ascii="仿宋" w:eastAsia="仿宋" w:hAnsi="仿宋" w:cs="仿宋"/>
                <w:sz w:val="24"/>
              </w:rPr>
            </w:pPr>
            <w:r>
              <w:rPr>
                <w:rFonts w:ascii="仿宋" w:eastAsia="仿宋" w:hAnsi="仿宋" w:cs="仿宋" w:hint="eastAsia"/>
                <w:sz w:val="24"/>
              </w:rPr>
              <w:t>回答问题质量</w:t>
            </w:r>
          </w:p>
          <w:p w:rsidR="00D6487A" w:rsidRDefault="00D6487A" w:rsidP="00B20524">
            <w:pPr>
              <w:jc w:val="center"/>
              <w:rPr>
                <w:rFonts w:ascii="仿宋" w:eastAsia="仿宋" w:hAnsi="仿宋" w:cs="仿宋"/>
                <w:sz w:val="24"/>
              </w:rPr>
            </w:pPr>
            <w:r>
              <w:rPr>
                <w:rFonts w:ascii="仿宋" w:eastAsia="仿宋" w:hAnsi="仿宋" w:cs="仿宋" w:hint="eastAsia"/>
                <w:sz w:val="24"/>
              </w:rPr>
              <w:t>（25 分）</w:t>
            </w:r>
          </w:p>
        </w:tc>
        <w:tc>
          <w:tcPr>
            <w:tcW w:w="6387" w:type="dxa"/>
          </w:tcPr>
          <w:p w:rsidR="00D6487A" w:rsidRDefault="00D6487A" w:rsidP="00B20524">
            <w:pPr>
              <w:rPr>
                <w:rFonts w:ascii="仿宋" w:eastAsia="仿宋" w:hAnsi="仿宋" w:cs="仿宋"/>
                <w:sz w:val="24"/>
              </w:rPr>
            </w:pPr>
            <w:r>
              <w:rPr>
                <w:rFonts w:ascii="仿宋" w:eastAsia="仿宋" w:hAnsi="仿宋" w:cs="仿宋" w:hint="eastAsia"/>
                <w:sz w:val="24"/>
              </w:rPr>
              <w:t>1.理解与回应：准确理解问题，回答紧扣主题。</w:t>
            </w:r>
          </w:p>
          <w:p w:rsidR="00D6487A" w:rsidRDefault="00D6487A" w:rsidP="00B20524">
            <w:pPr>
              <w:rPr>
                <w:rFonts w:ascii="仿宋" w:eastAsia="仿宋" w:hAnsi="仿宋" w:cs="仿宋"/>
                <w:sz w:val="24"/>
              </w:rPr>
            </w:pPr>
            <w:r>
              <w:rPr>
                <w:rFonts w:ascii="仿宋" w:eastAsia="仿宋" w:hAnsi="仿宋" w:cs="仿宋" w:hint="eastAsia"/>
                <w:sz w:val="24"/>
              </w:rPr>
              <w:t>2.专业深度：回应有依据、有逻辑，体现对研究的掌握。</w:t>
            </w:r>
          </w:p>
          <w:p w:rsidR="00D6487A" w:rsidRDefault="00D6487A" w:rsidP="00B20524">
            <w:pPr>
              <w:rPr>
                <w:rFonts w:ascii="仿宋" w:eastAsia="仿宋" w:hAnsi="仿宋" w:cs="仿宋"/>
                <w:sz w:val="24"/>
              </w:rPr>
            </w:pPr>
            <w:r>
              <w:rPr>
                <w:rFonts w:ascii="仿宋" w:eastAsia="仿宋" w:hAnsi="仿宋" w:cs="仿宋" w:hint="eastAsia"/>
                <w:sz w:val="24"/>
              </w:rPr>
              <w:t>3.团队协作：补充回答自然流畅，团队配合良好。</w:t>
            </w:r>
          </w:p>
        </w:tc>
      </w:tr>
    </w:tbl>
    <w:p w:rsidR="00D6487A" w:rsidRDefault="00D6487A" w:rsidP="00D6487A">
      <w:pPr>
        <w:spacing w:line="520" w:lineRule="exact"/>
        <w:rPr>
          <w:rFonts w:ascii="仿宋" w:eastAsia="仿宋" w:hAnsi="仿宋" w:cs="仿宋"/>
          <w:b/>
          <w:bCs/>
          <w:sz w:val="32"/>
          <w:szCs w:val="32"/>
        </w:rPr>
      </w:pPr>
    </w:p>
    <w:p w:rsidR="00D6487A" w:rsidRDefault="00D6487A" w:rsidP="00D6487A">
      <w:pPr>
        <w:spacing w:line="520" w:lineRule="exact"/>
        <w:rPr>
          <w:rFonts w:ascii="仿宋" w:eastAsia="仿宋" w:hAnsi="仿宋" w:cs="仿宋"/>
          <w:b/>
          <w:bCs/>
          <w:sz w:val="32"/>
          <w:szCs w:val="32"/>
        </w:rPr>
      </w:pPr>
      <w:r>
        <w:rPr>
          <w:rFonts w:ascii="仿宋" w:eastAsia="仿宋" w:hAnsi="仿宋" w:cs="仿宋" w:hint="eastAsia"/>
          <w:b/>
          <w:bCs/>
          <w:sz w:val="32"/>
          <w:szCs w:val="32"/>
        </w:rPr>
        <w:lastRenderedPageBreak/>
        <w:t>三、省级决赛排位赛阶段成绩计算标准</w:t>
      </w:r>
    </w:p>
    <w:p w:rsidR="00D6487A" w:rsidRDefault="00D6487A" w:rsidP="00D6487A">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（1）总成绩=</w:t>
      </w:r>
      <w:proofErr w:type="gramStart"/>
      <w:r>
        <w:rPr>
          <w:rFonts w:ascii="仿宋" w:eastAsia="仿宋" w:hAnsi="仿宋" w:cs="仿宋" w:hint="eastAsia"/>
          <w:sz w:val="32"/>
          <w:szCs w:val="32"/>
        </w:rPr>
        <w:t>极</w:t>
      </w:r>
      <w:proofErr w:type="gramEnd"/>
      <w:r>
        <w:rPr>
          <w:rFonts w:ascii="仿宋" w:eastAsia="仿宋" w:hAnsi="仿宋" w:cs="仿宋" w:hint="eastAsia"/>
          <w:sz w:val="32"/>
          <w:szCs w:val="32"/>
        </w:rPr>
        <w:t>速对抗（满分 100 分）*60%+现场答辩（满分 100 分）*40%。依据总成绩排序，评选出一等奖、二等奖和三等奖。</w:t>
      </w:r>
    </w:p>
    <w:p w:rsidR="00D6487A" w:rsidRDefault="00D6487A" w:rsidP="00D6487A">
      <w:pPr>
        <w:spacing w:line="520" w:lineRule="exact"/>
        <w:ind w:firstLineChars="200" w:firstLine="640"/>
        <w:rPr>
          <w:sz w:val="32"/>
          <w:szCs w:val="32"/>
        </w:rPr>
      </w:pPr>
      <w:r>
        <w:rPr>
          <w:rFonts w:ascii="仿宋" w:eastAsia="仿宋" w:hAnsi="仿宋" w:cs="仿宋" w:hint="eastAsia"/>
          <w:sz w:val="32"/>
          <w:szCs w:val="32"/>
        </w:rPr>
        <w:t>（2)若总成绩相同，则依次比较：①个人接力</w:t>
      </w:r>
      <w:proofErr w:type="gramStart"/>
      <w:r>
        <w:rPr>
          <w:rFonts w:ascii="仿宋" w:eastAsia="仿宋" w:hAnsi="仿宋" w:cs="仿宋" w:hint="eastAsia"/>
          <w:sz w:val="32"/>
          <w:szCs w:val="32"/>
        </w:rPr>
        <w:t>环节第</w:t>
      </w:r>
      <w:proofErr w:type="gramEnd"/>
      <w:r>
        <w:rPr>
          <w:rFonts w:ascii="仿宋" w:eastAsia="仿宋" w:hAnsi="仿宋" w:cs="仿宋" w:hint="eastAsia"/>
          <w:sz w:val="32"/>
          <w:szCs w:val="32"/>
        </w:rPr>
        <w:t xml:space="preserve"> 1 、2 名队员的总用时，时间短者在前；②如仍相同，则比较个人接力环节第3 名队员成绩的高低。</w:t>
      </w:r>
    </w:p>
    <w:p w:rsidR="00E30E1B" w:rsidRPr="00D6487A" w:rsidRDefault="00E30E1B">
      <w:bookmarkStart w:id="0" w:name="_GoBack"/>
      <w:bookmarkEnd w:id="0"/>
    </w:p>
    <w:sectPr w:rsidR="00E30E1B" w:rsidRPr="00D6487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45" w:rsidRDefault="00804845" w:rsidP="00D6487A">
      <w:r>
        <w:separator/>
      </w:r>
    </w:p>
  </w:endnote>
  <w:endnote w:type="continuationSeparator" w:id="0">
    <w:p w:rsidR="00804845" w:rsidRDefault="00804845" w:rsidP="00D6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42CF" w:rsidRDefault="00804845">
    <w:pPr>
      <w:pStyle w:val="a5"/>
    </w:pPr>
    <w:r>
      <w:rPr>
        <w:noProof/>
      </w:rPr>
      <mc:AlternateContent>
        <mc:Choice Requires="wps">
          <w:drawing>
            <wp:anchor distT="0" distB="0" distL="114300" distR="114300" simplePos="0" relativeHeight="251659264" behindDoc="0" locked="0" layoutInCell="1" allowOverlap="1" wp14:anchorId="3E6BF158" wp14:editId="4E169BD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42CF" w:rsidRDefault="00804845">
                          <w:pPr>
                            <w:pStyle w:val="a5"/>
                          </w:pPr>
                          <w:r>
                            <w:fldChar w:fldCharType="begin"/>
                          </w:r>
                          <w:r>
                            <w:instrText xml:space="preserve"> PAGE  \* MERGEFORMAT </w:instrText>
                          </w:r>
                          <w:r>
                            <w:fldChar w:fldCharType="separate"/>
                          </w:r>
                          <w:r w:rsidR="00D6487A">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6BF15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942CF" w:rsidRDefault="00804845">
                    <w:pPr>
                      <w:pStyle w:val="a5"/>
                    </w:pPr>
                    <w:r>
                      <w:fldChar w:fldCharType="begin"/>
                    </w:r>
                    <w:r>
                      <w:instrText xml:space="preserve"> PAGE  \* MERGEFORMAT </w:instrText>
                    </w:r>
                    <w:r>
                      <w:fldChar w:fldCharType="separate"/>
                    </w:r>
                    <w:r w:rsidR="00D6487A">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45" w:rsidRDefault="00804845" w:rsidP="00D6487A">
      <w:r>
        <w:separator/>
      </w:r>
    </w:p>
  </w:footnote>
  <w:footnote w:type="continuationSeparator" w:id="0">
    <w:p w:rsidR="00804845" w:rsidRDefault="00804845" w:rsidP="00D6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56B"/>
    <w:rsid w:val="00804845"/>
    <w:rsid w:val="00D0556B"/>
    <w:rsid w:val="00D6487A"/>
    <w:rsid w:val="00E30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C5BCAD8-0003-4C0B-A6ED-EBE2C2A9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87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87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487A"/>
    <w:rPr>
      <w:sz w:val="18"/>
      <w:szCs w:val="18"/>
    </w:rPr>
  </w:style>
  <w:style w:type="paragraph" w:styleId="a5">
    <w:name w:val="footer"/>
    <w:basedOn w:val="a"/>
    <w:link w:val="a6"/>
    <w:unhideWhenUsed/>
    <w:qFormat/>
    <w:rsid w:val="00D6487A"/>
    <w:pPr>
      <w:tabs>
        <w:tab w:val="center" w:pos="4153"/>
        <w:tab w:val="right" w:pos="8306"/>
      </w:tabs>
      <w:snapToGrid w:val="0"/>
      <w:jc w:val="left"/>
    </w:pPr>
    <w:rPr>
      <w:sz w:val="18"/>
      <w:szCs w:val="18"/>
    </w:rPr>
  </w:style>
  <w:style w:type="character" w:customStyle="1" w:styleId="a6">
    <w:name w:val="页脚 字符"/>
    <w:basedOn w:val="a0"/>
    <w:link w:val="a5"/>
    <w:rsid w:val="00D6487A"/>
    <w:rPr>
      <w:sz w:val="18"/>
      <w:szCs w:val="18"/>
    </w:rPr>
  </w:style>
  <w:style w:type="table" w:customStyle="1" w:styleId="TableNormal">
    <w:name w:val="Table Normal"/>
    <w:semiHidden/>
    <w:unhideWhenUsed/>
    <w:qFormat/>
    <w:rsid w:val="00D6487A"/>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1218</Characters>
  <Application>Microsoft Office Word</Application>
  <DocSecurity>0</DocSecurity>
  <Lines>10</Lines>
  <Paragraphs>2</Paragraphs>
  <ScaleCrop>false</ScaleCrop>
  <Company>Microsoft</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礼拜、</dc:creator>
  <cp:keywords/>
  <dc:description/>
  <cp:lastModifiedBy>礼拜、</cp:lastModifiedBy>
  <cp:revision>2</cp:revision>
  <dcterms:created xsi:type="dcterms:W3CDTF">2026-07-09T06:58:00Z</dcterms:created>
  <dcterms:modified xsi:type="dcterms:W3CDTF">2026-07-09T06:58:00Z</dcterms:modified>
</cp:coreProperties>
</file>